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24" w:rsidRDefault="005F0324" w:rsidP="009E7439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0324" w:rsidRPr="00F27557" w:rsidRDefault="005F0324" w:rsidP="005F032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bookmarkStart w:id="0" w:name="_GoBack"/>
      <w:r w:rsidRPr="00F2755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 xml:space="preserve">Analytical report </w:t>
      </w:r>
      <w:bookmarkEnd w:id="0"/>
      <w:r w:rsidRPr="00F2755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on the results of an internal analysis of corruption risks in the activities of the "E-Finance Center" joint-stock company</w:t>
      </w:r>
    </w:p>
    <w:p w:rsidR="005F0324" w:rsidRPr="00F27557" w:rsidRDefault="005F0324" w:rsidP="005F032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5F0324" w:rsidRPr="00F27557" w:rsidRDefault="005F0324" w:rsidP="005F0324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F2755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Nur-Sultan city</w:t>
      </w:r>
    </w:p>
    <w:p w:rsidR="005F0324" w:rsidRPr="00F27557" w:rsidRDefault="005F0324" w:rsidP="005F0324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7F47A0" w:rsidRPr="00F27557" w:rsidRDefault="007F47A0" w:rsidP="00F2755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</w:pPr>
      <w:r w:rsidRPr="00F27557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The full name of the object of internal analysis of corruption risks:</w:t>
      </w:r>
    </w:p>
    <w:p w:rsidR="007F47A0" w:rsidRPr="00F27557" w:rsidRDefault="007F47A0" w:rsidP="00F275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"E</w:t>
      </w:r>
      <w:r w:rsidR="00F27557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Finance</w:t>
      </w:r>
      <w:r w:rsidR="00F27557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Center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" </w:t>
      </w:r>
      <w:r w:rsidR="00F27557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joint-stock company 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(hereinafter - the Company).</w:t>
      </w:r>
    </w:p>
    <w:p w:rsidR="00F27557" w:rsidRPr="00F27557" w:rsidRDefault="00F27557" w:rsidP="00F275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D50354" w:rsidRPr="00F27557" w:rsidRDefault="007F47A0" w:rsidP="00F2755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F2755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The basis for conducting an internal analysis of corruption risks:</w:t>
      </w:r>
    </w:p>
    <w:p w:rsidR="00734C4E" w:rsidRPr="00F27557" w:rsidRDefault="00D50354" w:rsidP="00F2755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In accordance with </w:t>
      </w:r>
      <w:r w:rsidR="00C63461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article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10 of</w:t>
      </w:r>
      <w:r w:rsidR="0041546B" w:rsidRPr="00F27557">
        <w:rPr>
          <w:color w:val="000000" w:themeColor="text1"/>
          <w:lang w:val="en-US"/>
        </w:rPr>
        <w:t xml:space="preserve"> 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the Law of the Republic of Kazakhstan </w:t>
      </w:r>
      <w:r w:rsidR="00F27557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"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>n Combating Corruption</w:t>
      </w:r>
      <w:r w:rsidR="00F27557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"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, dated November 18, 2015, the Standard Rules for </w:t>
      </w:r>
      <w:r w:rsidR="007E29C2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onducting an </w:t>
      </w:r>
      <w:proofErr w:type="spellStart"/>
      <w:r w:rsidR="007E29C2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nternal </w:t>
      </w:r>
      <w:r w:rsidR="007E29C2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a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nalysis of </w:t>
      </w:r>
      <w:r w:rsidR="007E29C2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>orruption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7E29C2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>isks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>, approved by Order of the Chairman of the Agency for Civil Service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Affairs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and Anti-Corruption of the Republic of Kazakhstan No. 12 dated October 19, 2016, and the Order of the "E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-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>Finance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Center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>"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>JSC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>, dated January 20, 2020 (hereinafter</w:t>
      </w:r>
      <w:r w:rsidR="00F27557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-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the 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Rules</w:t>
      </w:r>
      <w:r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), 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and Order of the</w:t>
      </w:r>
      <w:r w:rsidR="00C63461" w:rsidRPr="00F27557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Chairman of the Management Board of the Company </w:t>
      </w:r>
      <w:r w:rsidR="00734C4E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No. 17 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dated January 20</w:t>
      </w:r>
      <w:r w:rsidR="00734C4E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, 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2020 "On conducting an internal analysis of corruption </w:t>
      </w:r>
      <w:r w:rsidR="00734C4E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isks </w:t>
      </w:r>
      <w:r w:rsidR="00734C4E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at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="00734C4E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E-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Finance</w:t>
      </w:r>
      <w:r w:rsidR="00734C4E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Center JSC </w:t>
      </w:r>
      <w:r w:rsidR="0041546B"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".</w:t>
      </w:r>
    </w:p>
    <w:p w:rsidR="00E17897" w:rsidRPr="00F27557" w:rsidRDefault="00E17897" w:rsidP="00F2755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E17897" w:rsidRPr="00F27557" w:rsidRDefault="00E17897" w:rsidP="00E1789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F27557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The analyzed period of activity of the object of internal analysis on corruption risks:</w:t>
      </w:r>
    </w:p>
    <w:p w:rsidR="00E17897" w:rsidRPr="00723EDE" w:rsidRDefault="00E17897" w:rsidP="00F2755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723EDE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from January 1 to December 31, 2019</w:t>
      </w:r>
    </w:p>
    <w:p w:rsidR="00F27557" w:rsidRPr="00723EDE" w:rsidRDefault="00F27557" w:rsidP="00F27557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</w:p>
    <w:p w:rsidR="005F0324" w:rsidRPr="00F27557" w:rsidRDefault="00E17897" w:rsidP="005F0324">
      <w:pPr>
        <w:widowControl w:val="0"/>
        <w:pBdr>
          <w:bottom w:val="single" w:sz="4" w:space="2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F2755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During the internal analysis of corruption risks, no cases of corruption were identified.</w:t>
      </w:r>
    </w:p>
    <w:p w:rsidR="00E17897" w:rsidRPr="00F27557" w:rsidRDefault="00F27557" w:rsidP="00F27557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160" w:line="259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kk-KZ"/>
        </w:rPr>
      </w:pPr>
      <w:r w:rsidRPr="00F2755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ab/>
      </w:r>
      <w:r w:rsidR="00E17897" w:rsidRPr="00F27557">
        <w:rPr>
          <w:rFonts w:ascii="Times New Roman" w:hAnsi="Times New Roman"/>
          <w:bCs/>
          <w:iCs/>
          <w:color w:val="000000" w:themeColor="text1"/>
          <w:sz w:val="28"/>
          <w:szCs w:val="28"/>
          <w:lang w:val="kk-KZ"/>
        </w:rPr>
        <w:t>The Company implements measures aimed at explanatory work among the Company's employees on corruption risks and the consequences of their implementation.</w:t>
      </w:r>
    </w:p>
    <w:p w:rsidR="005F0324" w:rsidRPr="00F27557" w:rsidRDefault="00E17897" w:rsidP="005F032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27557">
        <w:rPr>
          <w:rFonts w:ascii="Times New Roman" w:hAnsi="Times New Roman"/>
          <w:color w:val="000000" w:themeColor="text1"/>
          <w:sz w:val="28"/>
          <w:szCs w:val="28"/>
          <w:lang w:val="en-US"/>
        </w:rPr>
        <w:t>The Company monitors the implementation of the recommendation of the Company's Risk Manager on corruption risks and constantly monitors potential corruption risks of the Company.</w:t>
      </w:r>
    </w:p>
    <w:p w:rsidR="005F0324" w:rsidRPr="00F27557" w:rsidRDefault="005F0324" w:rsidP="005F032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5F0324" w:rsidRPr="00E17897" w:rsidRDefault="005F0324" w:rsidP="005F032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0324" w:rsidRPr="00E17897" w:rsidRDefault="005F0324" w:rsidP="005F032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0324" w:rsidRPr="00E17897" w:rsidRDefault="005F0324" w:rsidP="005F032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0324" w:rsidRPr="00E17897" w:rsidRDefault="005F0324" w:rsidP="005F032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0324" w:rsidRPr="00E17897" w:rsidRDefault="005F0324" w:rsidP="005F032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0324" w:rsidRPr="00E17897" w:rsidRDefault="005F0324" w:rsidP="009E7439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1EAD" w:rsidRPr="009E7439" w:rsidRDefault="002C1EAD" w:rsidP="002D4BA1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12E2E" w:rsidRPr="009E7439" w:rsidRDefault="00F12E2E" w:rsidP="00F93DFC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F12E2E" w:rsidRPr="009E7439" w:rsidSect="00204CE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3BE"/>
    <w:multiLevelType w:val="hybridMultilevel"/>
    <w:tmpl w:val="E2A44BE6"/>
    <w:lvl w:ilvl="0" w:tplc="01F204DC">
      <w:start w:val="1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4E22AF"/>
    <w:multiLevelType w:val="hybridMultilevel"/>
    <w:tmpl w:val="04D80E22"/>
    <w:lvl w:ilvl="0" w:tplc="BFFE1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02042"/>
    <w:multiLevelType w:val="hybridMultilevel"/>
    <w:tmpl w:val="0368FFFC"/>
    <w:lvl w:ilvl="0" w:tplc="28E2C13E">
      <w:start w:val="6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054991"/>
    <w:multiLevelType w:val="multilevel"/>
    <w:tmpl w:val="C3343BF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18FE6D59"/>
    <w:multiLevelType w:val="hybridMultilevel"/>
    <w:tmpl w:val="7456A1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32518D"/>
    <w:multiLevelType w:val="hybridMultilevel"/>
    <w:tmpl w:val="A4365614"/>
    <w:lvl w:ilvl="0" w:tplc="59523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8F5750"/>
    <w:multiLevelType w:val="hybridMultilevel"/>
    <w:tmpl w:val="7FF415B4"/>
    <w:lvl w:ilvl="0" w:tplc="198A09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35574AA"/>
    <w:multiLevelType w:val="multilevel"/>
    <w:tmpl w:val="DDF80DBE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76C522A2"/>
    <w:multiLevelType w:val="hybridMultilevel"/>
    <w:tmpl w:val="3D0E94DC"/>
    <w:lvl w:ilvl="0" w:tplc="3D08E0B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02"/>
    <w:rsid w:val="000167B5"/>
    <w:rsid w:val="00025632"/>
    <w:rsid w:val="00045310"/>
    <w:rsid w:val="000513DF"/>
    <w:rsid w:val="00052455"/>
    <w:rsid w:val="00057A22"/>
    <w:rsid w:val="000640E0"/>
    <w:rsid w:val="00073EC3"/>
    <w:rsid w:val="00074709"/>
    <w:rsid w:val="00077399"/>
    <w:rsid w:val="000775A8"/>
    <w:rsid w:val="00083D81"/>
    <w:rsid w:val="000863F1"/>
    <w:rsid w:val="000B0445"/>
    <w:rsid w:val="000C729E"/>
    <w:rsid w:val="000C7DCC"/>
    <w:rsid w:val="000D05B0"/>
    <w:rsid w:val="000E0058"/>
    <w:rsid w:val="000F7DA1"/>
    <w:rsid w:val="00105B39"/>
    <w:rsid w:val="00115F76"/>
    <w:rsid w:val="001235D7"/>
    <w:rsid w:val="00161E2D"/>
    <w:rsid w:val="00164A42"/>
    <w:rsid w:val="00166961"/>
    <w:rsid w:val="001672F7"/>
    <w:rsid w:val="00170599"/>
    <w:rsid w:val="00176E02"/>
    <w:rsid w:val="001840C4"/>
    <w:rsid w:val="00190258"/>
    <w:rsid w:val="00192755"/>
    <w:rsid w:val="00194AB6"/>
    <w:rsid w:val="001A7C2A"/>
    <w:rsid w:val="001B0045"/>
    <w:rsid w:val="001B4AA2"/>
    <w:rsid w:val="001C1683"/>
    <w:rsid w:val="001C6937"/>
    <w:rsid w:val="001C6F7D"/>
    <w:rsid w:val="001D6D99"/>
    <w:rsid w:val="001E1CF3"/>
    <w:rsid w:val="001E3795"/>
    <w:rsid w:val="001F2728"/>
    <w:rsid w:val="001F4948"/>
    <w:rsid w:val="001F6A2C"/>
    <w:rsid w:val="001F76F8"/>
    <w:rsid w:val="00204CE9"/>
    <w:rsid w:val="00214FE1"/>
    <w:rsid w:val="00222B67"/>
    <w:rsid w:val="0022323F"/>
    <w:rsid w:val="0022409D"/>
    <w:rsid w:val="00230E0F"/>
    <w:rsid w:val="00243546"/>
    <w:rsid w:val="00243F5B"/>
    <w:rsid w:val="0025405E"/>
    <w:rsid w:val="002723C3"/>
    <w:rsid w:val="00281BCE"/>
    <w:rsid w:val="00285C92"/>
    <w:rsid w:val="00296157"/>
    <w:rsid w:val="002A13B4"/>
    <w:rsid w:val="002A6C39"/>
    <w:rsid w:val="002B043C"/>
    <w:rsid w:val="002B3F44"/>
    <w:rsid w:val="002C1EAD"/>
    <w:rsid w:val="002D4BA1"/>
    <w:rsid w:val="002E2A7C"/>
    <w:rsid w:val="002F6A01"/>
    <w:rsid w:val="003101D2"/>
    <w:rsid w:val="003118AC"/>
    <w:rsid w:val="00315459"/>
    <w:rsid w:val="00317A2E"/>
    <w:rsid w:val="00322B38"/>
    <w:rsid w:val="00332B7E"/>
    <w:rsid w:val="0033368D"/>
    <w:rsid w:val="00333D01"/>
    <w:rsid w:val="00333FAE"/>
    <w:rsid w:val="0034250E"/>
    <w:rsid w:val="003426B1"/>
    <w:rsid w:val="00363C62"/>
    <w:rsid w:val="003678B0"/>
    <w:rsid w:val="003712AB"/>
    <w:rsid w:val="00374468"/>
    <w:rsid w:val="00384C7D"/>
    <w:rsid w:val="00391945"/>
    <w:rsid w:val="00392201"/>
    <w:rsid w:val="003A10D2"/>
    <w:rsid w:val="003A7067"/>
    <w:rsid w:val="003B42B9"/>
    <w:rsid w:val="003B5FA7"/>
    <w:rsid w:val="003C28F6"/>
    <w:rsid w:val="003D0D1D"/>
    <w:rsid w:val="003D0EAC"/>
    <w:rsid w:val="003D46F3"/>
    <w:rsid w:val="003D6F47"/>
    <w:rsid w:val="003F0202"/>
    <w:rsid w:val="00406D05"/>
    <w:rsid w:val="00407CE7"/>
    <w:rsid w:val="00410560"/>
    <w:rsid w:val="00413D5D"/>
    <w:rsid w:val="0041405E"/>
    <w:rsid w:val="0041546B"/>
    <w:rsid w:val="00425897"/>
    <w:rsid w:val="00432DD2"/>
    <w:rsid w:val="00445E52"/>
    <w:rsid w:val="004528D6"/>
    <w:rsid w:val="00454361"/>
    <w:rsid w:val="00455098"/>
    <w:rsid w:val="0047076F"/>
    <w:rsid w:val="0047676A"/>
    <w:rsid w:val="0048714C"/>
    <w:rsid w:val="00491710"/>
    <w:rsid w:val="004A1FBF"/>
    <w:rsid w:val="004B02DA"/>
    <w:rsid w:val="004C364C"/>
    <w:rsid w:val="004F3AEB"/>
    <w:rsid w:val="00503F5D"/>
    <w:rsid w:val="00520E45"/>
    <w:rsid w:val="00525B44"/>
    <w:rsid w:val="00537C33"/>
    <w:rsid w:val="00540CE4"/>
    <w:rsid w:val="00541634"/>
    <w:rsid w:val="005471C2"/>
    <w:rsid w:val="00547A2D"/>
    <w:rsid w:val="005535FE"/>
    <w:rsid w:val="0055669C"/>
    <w:rsid w:val="00570EB1"/>
    <w:rsid w:val="005839EB"/>
    <w:rsid w:val="00585F39"/>
    <w:rsid w:val="00586838"/>
    <w:rsid w:val="00593C41"/>
    <w:rsid w:val="00596A41"/>
    <w:rsid w:val="00597B28"/>
    <w:rsid w:val="005A0FCF"/>
    <w:rsid w:val="005B136A"/>
    <w:rsid w:val="005B41F4"/>
    <w:rsid w:val="005B59B9"/>
    <w:rsid w:val="005C1999"/>
    <w:rsid w:val="005D4DD6"/>
    <w:rsid w:val="005E3E78"/>
    <w:rsid w:val="005E565A"/>
    <w:rsid w:val="005E6088"/>
    <w:rsid w:val="005F0324"/>
    <w:rsid w:val="005F1903"/>
    <w:rsid w:val="005F4BB2"/>
    <w:rsid w:val="005F658A"/>
    <w:rsid w:val="00617816"/>
    <w:rsid w:val="0062092D"/>
    <w:rsid w:val="00622010"/>
    <w:rsid w:val="00632876"/>
    <w:rsid w:val="00636222"/>
    <w:rsid w:val="0063726D"/>
    <w:rsid w:val="00655DE7"/>
    <w:rsid w:val="00656502"/>
    <w:rsid w:val="006568F1"/>
    <w:rsid w:val="00660B5A"/>
    <w:rsid w:val="00661E08"/>
    <w:rsid w:val="00673965"/>
    <w:rsid w:val="00690F53"/>
    <w:rsid w:val="0069644B"/>
    <w:rsid w:val="00696535"/>
    <w:rsid w:val="006A0EE1"/>
    <w:rsid w:val="006A18D5"/>
    <w:rsid w:val="006C3D81"/>
    <w:rsid w:val="006C7B4D"/>
    <w:rsid w:val="006D43AB"/>
    <w:rsid w:val="006D6C81"/>
    <w:rsid w:val="006E7A7A"/>
    <w:rsid w:val="006F1476"/>
    <w:rsid w:val="006F3F48"/>
    <w:rsid w:val="006F6014"/>
    <w:rsid w:val="006F63D8"/>
    <w:rsid w:val="00701254"/>
    <w:rsid w:val="0070787D"/>
    <w:rsid w:val="0071066D"/>
    <w:rsid w:val="00720B23"/>
    <w:rsid w:val="00723EDE"/>
    <w:rsid w:val="00734C4E"/>
    <w:rsid w:val="0074024F"/>
    <w:rsid w:val="0074107B"/>
    <w:rsid w:val="007458BA"/>
    <w:rsid w:val="00755595"/>
    <w:rsid w:val="007635E2"/>
    <w:rsid w:val="00781FBF"/>
    <w:rsid w:val="00784189"/>
    <w:rsid w:val="00790C0B"/>
    <w:rsid w:val="00791B06"/>
    <w:rsid w:val="007976CB"/>
    <w:rsid w:val="007A1C94"/>
    <w:rsid w:val="007A60A0"/>
    <w:rsid w:val="007B14C3"/>
    <w:rsid w:val="007B2A14"/>
    <w:rsid w:val="007B5F7E"/>
    <w:rsid w:val="007B6A73"/>
    <w:rsid w:val="007B7BC7"/>
    <w:rsid w:val="007E29C2"/>
    <w:rsid w:val="007F2752"/>
    <w:rsid w:val="007F47A0"/>
    <w:rsid w:val="00807706"/>
    <w:rsid w:val="008142C8"/>
    <w:rsid w:val="008212F8"/>
    <w:rsid w:val="00846AE4"/>
    <w:rsid w:val="008538A9"/>
    <w:rsid w:val="00856FDA"/>
    <w:rsid w:val="00864369"/>
    <w:rsid w:val="00875B30"/>
    <w:rsid w:val="00894167"/>
    <w:rsid w:val="00897D41"/>
    <w:rsid w:val="008A2AA3"/>
    <w:rsid w:val="008A4BE4"/>
    <w:rsid w:val="008A620D"/>
    <w:rsid w:val="008B607C"/>
    <w:rsid w:val="008C0CD1"/>
    <w:rsid w:val="008C40EC"/>
    <w:rsid w:val="009137AC"/>
    <w:rsid w:val="009158C7"/>
    <w:rsid w:val="00920F4C"/>
    <w:rsid w:val="00921272"/>
    <w:rsid w:val="00925F92"/>
    <w:rsid w:val="0092692A"/>
    <w:rsid w:val="00940485"/>
    <w:rsid w:val="009465FE"/>
    <w:rsid w:val="00954523"/>
    <w:rsid w:val="009667B2"/>
    <w:rsid w:val="00967686"/>
    <w:rsid w:val="0097244D"/>
    <w:rsid w:val="0097702A"/>
    <w:rsid w:val="0099007C"/>
    <w:rsid w:val="009A27BD"/>
    <w:rsid w:val="009A4BA4"/>
    <w:rsid w:val="009C0B43"/>
    <w:rsid w:val="009C2658"/>
    <w:rsid w:val="009C6548"/>
    <w:rsid w:val="009D58B0"/>
    <w:rsid w:val="009E60F9"/>
    <w:rsid w:val="009E7439"/>
    <w:rsid w:val="009F1DDB"/>
    <w:rsid w:val="009F3A1B"/>
    <w:rsid w:val="00A162F4"/>
    <w:rsid w:val="00A20FB7"/>
    <w:rsid w:val="00A2798F"/>
    <w:rsid w:val="00A331C2"/>
    <w:rsid w:val="00A35443"/>
    <w:rsid w:val="00A46F62"/>
    <w:rsid w:val="00A545EA"/>
    <w:rsid w:val="00A71CCC"/>
    <w:rsid w:val="00A80BC2"/>
    <w:rsid w:val="00A84228"/>
    <w:rsid w:val="00A86A19"/>
    <w:rsid w:val="00AA32C7"/>
    <w:rsid w:val="00AC4076"/>
    <w:rsid w:val="00AD1956"/>
    <w:rsid w:val="00AD3CF1"/>
    <w:rsid w:val="00AD4B6F"/>
    <w:rsid w:val="00AE0D44"/>
    <w:rsid w:val="00AF28B5"/>
    <w:rsid w:val="00AF4789"/>
    <w:rsid w:val="00AF6024"/>
    <w:rsid w:val="00B00DDB"/>
    <w:rsid w:val="00B00E83"/>
    <w:rsid w:val="00B0124B"/>
    <w:rsid w:val="00B057D0"/>
    <w:rsid w:val="00B12E74"/>
    <w:rsid w:val="00B131D6"/>
    <w:rsid w:val="00B15D06"/>
    <w:rsid w:val="00B17723"/>
    <w:rsid w:val="00B2106F"/>
    <w:rsid w:val="00B243E0"/>
    <w:rsid w:val="00B2579B"/>
    <w:rsid w:val="00B36AB6"/>
    <w:rsid w:val="00B4393E"/>
    <w:rsid w:val="00B50084"/>
    <w:rsid w:val="00B535C2"/>
    <w:rsid w:val="00B55E16"/>
    <w:rsid w:val="00B56D00"/>
    <w:rsid w:val="00B616F4"/>
    <w:rsid w:val="00B61BF0"/>
    <w:rsid w:val="00B66A24"/>
    <w:rsid w:val="00B67A99"/>
    <w:rsid w:val="00B72915"/>
    <w:rsid w:val="00B72954"/>
    <w:rsid w:val="00B74C3E"/>
    <w:rsid w:val="00B74E3F"/>
    <w:rsid w:val="00B947C9"/>
    <w:rsid w:val="00B961AC"/>
    <w:rsid w:val="00BA226E"/>
    <w:rsid w:val="00BB77F7"/>
    <w:rsid w:val="00BD7455"/>
    <w:rsid w:val="00BE29B1"/>
    <w:rsid w:val="00BE396E"/>
    <w:rsid w:val="00BE60C3"/>
    <w:rsid w:val="00BF29AF"/>
    <w:rsid w:val="00BF3A67"/>
    <w:rsid w:val="00BF59D7"/>
    <w:rsid w:val="00C0464E"/>
    <w:rsid w:val="00C05CD9"/>
    <w:rsid w:val="00C132B6"/>
    <w:rsid w:val="00C23C57"/>
    <w:rsid w:val="00C2448B"/>
    <w:rsid w:val="00C25750"/>
    <w:rsid w:val="00C27B49"/>
    <w:rsid w:val="00C4435A"/>
    <w:rsid w:val="00C50F37"/>
    <w:rsid w:val="00C54317"/>
    <w:rsid w:val="00C63461"/>
    <w:rsid w:val="00C64045"/>
    <w:rsid w:val="00C66934"/>
    <w:rsid w:val="00C8525C"/>
    <w:rsid w:val="00C85A53"/>
    <w:rsid w:val="00CB4721"/>
    <w:rsid w:val="00CC36D0"/>
    <w:rsid w:val="00CE2FD4"/>
    <w:rsid w:val="00CE4A17"/>
    <w:rsid w:val="00CF62A7"/>
    <w:rsid w:val="00D0551D"/>
    <w:rsid w:val="00D13C70"/>
    <w:rsid w:val="00D20AB4"/>
    <w:rsid w:val="00D317B7"/>
    <w:rsid w:val="00D458BF"/>
    <w:rsid w:val="00D50354"/>
    <w:rsid w:val="00D52600"/>
    <w:rsid w:val="00D531CC"/>
    <w:rsid w:val="00D534C6"/>
    <w:rsid w:val="00D56262"/>
    <w:rsid w:val="00D56E7B"/>
    <w:rsid w:val="00D63334"/>
    <w:rsid w:val="00D73F5C"/>
    <w:rsid w:val="00D7514C"/>
    <w:rsid w:val="00D75E20"/>
    <w:rsid w:val="00D77CB9"/>
    <w:rsid w:val="00D84412"/>
    <w:rsid w:val="00D94278"/>
    <w:rsid w:val="00DA7B11"/>
    <w:rsid w:val="00DC2318"/>
    <w:rsid w:val="00DC554B"/>
    <w:rsid w:val="00DC6A07"/>
    <w:rsid w:val="00DE0A4F"/>
    <w:rsid w:val="00DE3392"/>
    <w:rsid w:val="00DF0330"/>
    <w:rsid w:val="00E10D54"/>
    <w:rsid w:val="00E12784"/>
    <w:rsid w:val="00E17897"/>
    <w:rsid w:val="00E4557A"/>
    <w:rsid w:val="00E477BB"/>
    <w:rsid w:val="00E733F6"/>
    <w:rsid w:val="00E75B4F"/>
    <w:rsid w:val="00E765F2"/>
    <w:rsid w:val="00EA6391"/>
    <w:rsid w:val="00EB1031"/>
    <w:rsid w:val="00EC16C3"/>
    <w:rsid w:val="00EC5171"/>
    <w:rsid w:val="00ED5381"/>
    <w:rsid w:val="00EE5BFE"/>
    <w:rsid w:val="00EF19DF"/>
    <w:rsid w:val="00F12E2E"/>
    <w:rsid w:val="00F141A9"/>
    <w:rsid w:val="00F27557"/>
    <w:rsid w:val="00F3195E"/>
    <w:rsid w:val="00F342F1"/>
    <w:rsid w:val="00F36512"/>
    <w:rsid w:val="00F40570"/>
    <w:rsid w:val="00F4123A"/>
    <w:rsid w:val="00F43DB9"/>
    <w:rsid w:val="00F526DE"/>
    <w:rsid w:val="00F6238E"/>
    <w:rsid w:val="00F66216"/>
    <w:rsid w:val="00F670DE"/>
    <w:rsid w:val="00F86971"/>
    <w:rsid w:val="00F930A6"/>
    <w:rsid w:val="00F93DFC"/>
    <w:rsid w:val="00F96637"/>
    <w:rsid w:val="00FA1750"/>
    <w:rsid w:val="00FA664B"/>
    <w:rsid w:val="00FB22FA"/>
    <w:rsid w:val="00FD063D"/>
    <w:rsid w:val="00FD0D95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B190"/>
  <w15:docId w15:val="{0E184EEB-919E-3A41-B088-C813EBF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94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0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840C4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1F27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72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1F2728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72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1F2728"/>
    <w:rPr>
      <w:b/>
      <w:bCs/>
      <w:lang w:eastAsia="en-US"/>
    </w:rPr>
  </w:style>
  <w:style w:type="character" w:styleId="ab">
    <w:name w:val="Strong"/>
    <w:uiPriority w:val="22"/>
    <w:qFormat/>
    <w:rsid w:val="007B6A73"/>
    <w:rPr>
      <w:b/>
      <w:bCs/>
    </w:rPr>
  </w:style>
  <w:style w:type="paragraph" w:styleId="ac">
    <w:name w:val="Normal (Web)"/>
    <w:basedOn w:val="a"/>
    <w:uiPriority w:val="99"/>
    <w:semiHidden/>
    <w:unhideWhenUsed/>
    <w:rsid w:val="00272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B947C9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1780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6613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2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9635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33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9902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79AA-6678-4EC6-9BC1-74CCCB67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Шынар Т?раш</cp:lastModifiedBy>
  <cp:revision>6</cp:revision>
  <cp:lastPrinted>2020-02-20T05:09:00Z</cp:lastPrinted>
  <dcterms:created xsi:type="dcterms:W3CDTF">2020-03-04T03:59:00Z</dcterms:created>
  <dcterms:modified xsi:type="dcterms:W3CDTF">2024-02-23T09:16:00Z</dcterms:modified>
</cp:coreProperties>
</file>